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</w:t>
      </w:r>
      <w:r w:rsidR="00956926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DE0343">
        <w:rPr>
          <w:sz w:val="22"/>
          <w:szCs w:val="22"/>
        </w:rPr>
        <w:t>0</w:t>
      </w:r>
      <w:r w:rsidR="00956926">
        <w:rPr>
          <w:sz w:val="22"/>
          <w:szCs w:val="22"/>
        </w:rPr>
        <w:t>4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956926">
        <w:rPr>
          <w:sz w:val="22"/>
          <w:szCs w:val="22"/>
        </w:rPr>
        <w:t>21</w:t>
      </w:r>
      <w:r w:rsidR="0010080F">
        <w:rPr>
          <w:sz w:val="22"/>
          <w:szCs w:val="22"/>
        </w:rPr>
        <w:t>.</w:t>
      </w:r>
      <w:r w:rsidR="00956926">
        <w:rPr>
          <w:sz w:val="22"/>
          <w:szCs w:val="22"/>
        </w:rPr>
        <w:t>8</w:t>
      </w:r>
      <w:r w:rsidR="0010080F">
        <w:rPr>
          <w:sz w:val="22"/>
          <w:szCs w:val="22"/>
        </w:rPr>
        <w:t>.2025.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16431F">
        <w:rPr>
          <w:sz w:val="22"/>
          <w:szCs w:val="22"/>
        </w:rPr>
        <w:t xml:space="preserve">učitelja/učiteljice </w:t>
      </w:r>
      <w:r w:rsidR="00956926">
        <w:rPr>
          <w:sz w:val="22"/>
          <w:szCs w:val="22"/>
        </w:rPr>
        <w:t>tehničke kulture</w:t>
      </w:r>
      <w:r w:rsidR="001008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956926">
        <w:t>K</w:t>
      </w:r>
      <w:r w:rsidR="00BD7CBF">
        <w:t xml:space="preserve">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6431F">
        <w:t xml:space="preserve">        </w:t>
      </w:r>
      <w:r>
        <w:t xml:space="preserve"> </w:t>
      </w:r>
      <w:r w:rsidR="00956926">
        <w:t>MARIJO BALAŠKOVIĆ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6431F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56926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DE034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21</cp:revision>
  <dcterms:created xsi:type="dcterms:W3CDTF">2019-08-23T06:20:00Z</dcterms:created>
  <dcterms:modified xsi:type="dcterms:W3CDTF">2025-08-25T08:28:00Z</dcterms:modified>
</cp:coreProperties>
</file>